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9D" w:rsidRPr="00D56FD3" w:rsidRDefault="00141D9D" w:rsidP="00D56F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FD3">
        <w:rPr>
          <w:rFonts w:ascii="Times New Roman" w:hAnsi="Times New Roman" w:cs="Times New Roman"/>
        </w:rPr>
        <w:tab/>
      </w:r>
      <w:r w:rsidRPr="00D56FD3">
        <w:rPr>
          <w:rFonts w:ascii="Times New Roman" w:eastAsia="Times New Roman" w:hAnsi="Times New Roman" w:cs="Times New Roman"/>
          <w:sz w:val="28"/>
          <w:szCs w:val="28"/>
        </w:rPr>
        <w:t>Приложение 16</w:t>
      </w:r>
    </w:p>
    <w:p w:rsidR="00141D9D" w:rsidRPr="00D56FD3" w:rsidRDefault="00141D9D" w:rsidP="00D56F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FD3"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141D9D" w:rsidRPr="00D56FD3" w:rsidRDefault="00141D9D" w:rsidP="00D56F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56FD3"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415617" w:rsidRPr="00D56FD3" w:rsidRDefault="00415617" w:rsidP="00D56FD3">
      <w:pPr>
        <w:tabs>
          <w:tab w:val="left" w:pos="13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5617" w:rsidRDefault="00141D9D" w:rsidP="00D56FD3">
      <w:pPr>
        <w:tabs>
          <w:tab w:val="left" w:pos="13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D3">
        <w:rPr>
          <w:rFonts w:ascii="Times New Roman" w:hAnsi="Times New Roman" w:cs="Times New Roman"/>
          <w:b/>
          <w:sz w:val="28"/>
          <w:szCs w:val="28"/>
        </w:rPr>
        <w:t>Учетная карточка экспертно-аналитического мероприятия «____________________»</w:t>
      </w:r>
    </w:p>
    <w:p w:rsidR="00D56FD3" w:rsidRPr="00D56FD3" w:rsidRDefault="00D56FD3" w:rsidP="00D56FD3">
      <w:pPr>
        <w:tabs>
          <w:tab w:val="left" w:pos="13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6"/>
        <w:gridCol w:w="4202"/>
        <w:gridCol w:w="4395"/>
        <w:gridCol w:w="5103"/>
      </w:tblGrid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6FD3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D56FD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56FD3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6FD3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6FD3">
              <w:rPr>
                <w:rFonts w:ascii="Times New Roman" w:eastAsia="Times New Roman" w:hAnsi="Times New Roman" w:cs="Times New Roman"/>
                <w:b/>
                <w:bCs/>
              </w:rPr>
              <w:t>Исходные данные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6FD3">
              <w:rPr>
                <w:rFonts w:ascii="Times New Roman" w:eastAsia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40468E" w:rsidRPr="00D56FD3" w:rsidTr="009A20E1">
        <w:trPr>
          <w:trHeight w:val="630"/>
        </w:trPr>
        <w:tc>
          <w:tcPr>
            <w:tcW w:w="14616" w:type="dxa"/>
            <w:gridSpan w:val="4"/>
            <w:shd w:val="clear" w:color="000000" w:fill="FFFFFF" w:themeFill="background1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56FD3">
              <w:rPr>
                <w:rFonts w:ascii="Times New Roman" w:eastAsia="Times New Roman" w:hAnsi="Times New Roman" w:cs="Times New Roman"/>
                <w:b/>
                <w:bCs/>
                <w:iCs/>
              </w:rPr>
              <w:t>Общие сведения</w:t>
            </w:r>
          </w:p>
        </w:tc>
      </w:tr>
      <w:tr w:rsidR="0040468E" w:rsidRPr="00D56FD3" w:rsidTr="009A20E1">
        <w:trPr>
          <w:trHeight w:val="147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Основание для проведения экспертно-аналитического мероприятия</w:t>
            </w:r>
            <w:r w:rsidRPr="00D56FD3">
              <w:rPr>
                <w:rStyle w:val="a3"/>
                <w:rFonts w:ascii="Times New Roman" w:eastAsia="Times New Roman" w:hAnsi="Times New Roman" w:cs="Times New Roman"/>
                <w:color w:val="000000"/>
                <w:sz w:val="22"/>
              </w:rPr>
              <w:footnoteReference w:id="1"/>
            </w:r>
          </w:p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Объект экспертно-аналитического мероприятия</w:t>
            </w:r>
            <w:r>
              <w:rPr>
                <w:rStyle w:val="a3"/>
                <w:rFonts w:ascii="Times New Roman" w:eastAsia="Times New Roman" w:hAnsi="Times New Roman" w:cs="Times New Roman"/>
                <w:color w:val="000000"/>
              </w:rPr>
              <w:footnoteReference w:id="2"/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Ф.И.О. руководителя, тел.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Ф.И.О. гл. бухгалтера, тел.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Предмет экспертно-аналитического мероприятия</w:t>
            </w:r>
            <w:r w:rsidRPr="00D56FD3">
              <w:rPr>
                <w:rStyle w:val="a3"/>
                <w:rFonts w:ascii="Times New Roman" w:eastAsia="Times New Roman" w:hAnsi="Times New Roman" w:cs="Times New Roman"/>
                <w:color w:val="000000"/>
                <w:sz w:val="22"/>
              </w:rPr>
              <w:footnoteReference w:id="3"/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6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Исследуемый период</w:t>
            </w:r>
            <w:r w:rsidRPr="00D56FD3">
              <w:rPr>
                <w:rStyle w:val="a3"/>
                <w:rFonts w:ascii="Times New Roman" w:eastAsia="Times New Roman" w:hAnsi="Times New Roman" w:cs="Times New Roman"/>
                <w:color w:val="000000"/>
                <w:sz w:val="22"/>
              </w:rPr>
              <w:footnoteReference w:id="4"/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94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Цель (цели) экспертно-аналитического мероприятия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12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Форма проведения мероприятия</w:t>
            </w:r>
          </w:p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(камеральная или выездная)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69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Дата начала экспертно-аналитического мероприятия</w:t>
            </w:r>
          </w:p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Дата окончания экспертно-аналитического мероприятия</w:t>
            </w:r>
          </w:p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11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Дата составления заключения (отчета) по результатам экспертно-аналитического мероприятия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Исполнители экспертно-аналитического мероприятия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90"/>
        </w:trPr>
        <w:tc>
          <w:tcPr>
            <w:tcW w:w="14616" w:type="dxa"/>
            <w:gridSpan w:val="4"/>
            <w:shd w:val="clear" w:color="000000" w:fill="FFFFFF" w:themeFill="background1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6FD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Объем средств, охваченных при проведении мероприятия</w:t>
            </w:r>
          </w:p>
        </w:tc>
      </w:tr>
      <w:tr w:rsidR="0040468E" w:rsidRPr="00D56FD3" w:rsidTr="009A20E1">
        <w:trPr>
          <w:trHeight w:val="690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Объем средств, охваченных при проведении мероприятия (тыс. рублей)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том числе: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11.4.1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средства внебюджетных фондов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11.4.2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средства от приносящей доход деятельности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11.4.3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иные внебюджетные средства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18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Подлежащая исследованию в соответствии с программой мероприятия стоимость имущества, находящегося в государственной собственности Орловской области (тыс. рублей)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 xml:space="preserve">имущество, закрепленное за государственными унитарными предприятиями Орловской области, казенными предприятиями Орловской области и государственными учреждениями Орловской области и органами государственной власти </w:t>
            </w:r>
            <w:r w:rsidRPr="00D56F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Орловской области</w:t>
            </w:r>
          </w:p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 xml:space="preserve">средства фондов, образованных в соответствии с федеральными законами и законами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Орловской </w:t>
            </w: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области</w:t>
            </w:r>
          </w:p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12.4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ценные бумаги и финансовые активы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земельные участки и иные природные ресурсы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 xml:space="preserve">объекты, переданные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Орловской </w:t>
            </w: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области федеральными органами власти, органами власти иных субъектов Российской Федерации, органами местного самоуправления области и иных субъектов Российской Федерации</w:t>
            </w:r>
          </w:p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доли (паи, акции) области в уставных (складочных) капиталах хозяйственных обществ, товариществ, предприятий иных организационно-правовых форм</w:t>
            </w:r>
            <w:proofErr w:type="gramEnd"/>
          </w:p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результаты интеллектуальной деятельности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75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</w:rPr>
              <w:t>иное имущество Орловской области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390"/>
        </w:trPr>
        <w:tc>
          <w:tcPr>
            <w:tcW w:w="14616" w:type="dxa"/>
            <w:gridSpan w:val="4"/>
            <w:shd w:val="clear" w:color="000000" w:fill="FFFFFF" w:themeFill="background1"/>
            <w:noWrap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6FD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Итоги экспертно-аналитического мероприятия</w:t>
            </w:r>
          </w:p>
        </w:tc>
      </w:tr>
      <w:tr w:rsidR="0040468E" w:rsidRPr="00D56FD3" w:rsidTr="009A20E1">
        <w:trPr>
          <w:trHeight w:val="147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Установлено нарушений законодательства Российской Федерации и (или) Орловской области, всего (кол-во и тыс. рублей)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68E">
              <w:rPr>
                <w:rFonts w:ascii="Times New Roman" w:eastAsia="Times New Roman" w:hAnsi="Times New Roman" w:cs="Times New Roman"/>
                <w:i/>
                <w:iCs/>
              </w:rPr>
              <w:t>из них: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13.1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0468E">
              <w:rPr>
                <w:rFonts w:ascii="Times New Roman" w:eastAsia="Times New Roman" w:hAnsi="Times New Roman" w:cs="Times New Roman"/>
                <w:iCs/>
              </w:rPr>
              <w:t>Нарушения при формировании бюджетов: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13.1.1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68E">
              <w:rPr>
                <w:rFonts w:ascii="Times New Roman" w:eastAsia="Times New Roman" w:hAnsi="Times New Roman" w:cs="Times New Roman"/>
                <w:i/>
                <w:iCs/>
              </w:rPr>
              <w:t>Нарушение 1</w:t>
            </w:r>
            <w:r w:rsidRPr="0040468E">
              <w:rPr>
                <w:rStyle w:val="a3"/>
                <w:rFonts w:ascii="Times New Roman" w:eastAsia="Times New Roman" w:hAnsi="Times New Roman" w:cs="Times New Roman"/>
                <w:i/>
                <w:iCs/>
                <w:sz w:val="22"/>
              </w:rPr>
              <w:footnoteReference w:id="5"/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13.1.2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68E">
              <w:rPr>
                <w:rFonts w:ascii="Times New Roman" w:eastAsia="Times New Roman" w:hAnsi="Times New Roman" w:cs="Times New Roman"/>
                <w:i/>
                <w:iCs/>
              </w:rPr>
              <w:t>Нарушение 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40468E">
              <w:rPr>
                <w:rFonts w:ascii="Times New Roman" w:eastAsia="Times New Roman" w:hAnsi="Times New Roman" w:cs="Times New Roman"/>
                <w:iCs/>
              </w:rPr>
              <w:t>Нарушения при исполнении бюджетов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13.2.2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68E">
              <w:rPr>
                <w:rFonts w:ascii="Times New Roman" w:eastAsia="Times New Roman" w:hAnsi="Times New Roman" w:cs="Times New Roman"/>
                <w:i/>
                <w:iCs/>
              </w:rPr>
              <w:t>Нарушение 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3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13.2.2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0468E">
              <w:rPr>
                <w:rFonts w:ascii="Times New Roman" w:eastAsia="Times New Roman" w:hAnsi="Times New Roman" w:cs="Times New Roman"/>
                <w:i/>
                <w:iCs/>
              </w:rPr>
              <w:t>Нарушение 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13.3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lastRenderedPageBreak/>
              <w:t>13.3.1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13.3.2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13.4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Нарушения в сфере управления и распоряжения государственной собственностью Орловской области</w:t>
            </w:r>
          </w:p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13.4.1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13.4.2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13.5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Нарушения при осуществлении государственных закупок и закупок отдельными видами юридических лиц</w:t>
            </w:r>
          </w:p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13.5.1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13.5.2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13.6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 xml:space="preserve">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организаций с участием Орловской области в их </w:t>
            </w:r>
            <w:r w:rsidRPr="0040468E">
              <w:rPr>
                <w:rFonts w:ascii="Times New Roman" w:eastAsia="Times New Roman" w:hAnsi="Times New Roman" w:cs="Times New Roman"/>
              </w:rPr>
              <w:lastRenderedPageBreak/>
              <w:t>уставных (складочных) капиталах и иных организаций, в том числе  при использовании ими имущества, находящегося в государственной собственности Орловской области</w:t>
            </w:r>
          </w:p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lastRenderedPageBreak/>
              <w:t>13.6.1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705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13.6.2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108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13.7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Иные нарушения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108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13.7.1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1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1080"/>
        </w:trPr>
        <w:tc>
          <w:tcPr>
            <w:tcW w:w="916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13.7.2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0468E">
              <w:rPr>
                <w:rFonts w:ascii="Times New Roman" w:eastAsia="Times New Roman" w:hAnsi="Times New Roman" w:cs="Times New Roman"/>
                <w:i/>
              </w:rPr>
              <w:t>Нарушение 2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40468E" w:rsidRPr="0040468E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</w:tcPr>
          <w:p w:rsidR="0040468E" w:rsidRPr="00D56FD3" w:rsidRDefault="0040468E" w:rsidP="009A20E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390"/>
        </w:trPr>
        <w:tc>
          <w:tcPr>
            <w:tcW w:w="14616" w:type="dxa"/>
            <w:gridSpan w:val="4"/>
            <w:shd w:val="clear" w:color="000000" w:fill="FFFFFF" w:themeFill="background1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68E">
              <w:rPr>
                <w:rFonts w:ascii="Times New Roman" w:eastAsia="Times New Roman" w:hAnsi="Times New Roman" w:cs="Times New Roman"/>
                <w:b/>
                <w:bCs/>
              </w:rPr>
              <w:t>Действия Контрольно-счетной палаты Орловской области по результатам экспертно-аналитического мероприятия</w:t>
            </w:r>
          </w:p>
        </w:tc>
      </w:tr>
      <w:tr w:rsidR="0040468E" w:rsidRPr="00D56FD3" w:rsidTr="009A20E1">
        <w:trPr>
          <w:trHeight w:val="187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Представление в Орловский областной Совет народных депутатов информации о результатах экспертно-аналитического мероприятия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166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Представление Губернатору Орловской области информации о результатах экспертно-аналитического мероприятия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Направление Председателю и/или членам Правительства Орловской области информации о результатах экспертно-аналитического мероприятия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11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Направление информации о результатах экспертно-аналитического мероприятия в Счетную палату Российской Федерации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26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Направление информации о результатах экспертно-аналитического мероприятия в иные органы государственной власти (государственные органы) и/или государственные внебюджетные фонды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17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Составление протокола об административном правонарушении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11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Объем нарушений, исправленных в ходе проведения экспертно-аналитического мероприятия (кол-во и тыс. рублей)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11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Объем нарушений, исправленных после завершения экспертно-аналитического мероприятия (кол-во и тыс. рублей)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Размещение информации по итогам экспертно-аналитического мероприятия  на официальном сайте Контрольно-счетной палаты Орловской области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177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Размещение информации по итогам экспертно-аналитического мероприятия на Портале Счетной палаты Российской Федерации</w:t>
            </w:r>
            <w:r w:rsidRPr="0040468E">
              <w:t xml:space="preserve"> </w:t>
            </w:r>
            <w:r w:rsidRPr="0040468E">
              <w:rPr>
                <w:rFonts w:ascii="Times New Roman" w:eastAsia="Times New Roman" w:hAnsi="Times New Roman" w:cs="Times New Roman"/>
              </w:rPr>
              <w:t>и контрольно-счетных органов Российской Федерации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/>
        </w:tc>
      </w:tr>
      <w:tr w:rsidR="0040468E" w:rsidRPr="00D56FD3" w:rsidTr="009A20E1">
        <w:trPr>
          <w:trHeight w:val="151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Рассмотрение результатов экспертно-аналитического мероприятия  на совещаниях, заседаниях комитетов, рабочих групп и др.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/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40468E" w:rsidRPr="00D56FD3" w:rsidRDefault="0040468E" w:rsidP="009A20E1">
            <w:pPr>
              <w:rPr>
                <w:rFonts w:ascii="Times New Roman" w:hAnsi="Times New Roman" w:cs="Times New Roman"/>
              </w:rPr>
            </w:pPr>
          </w:p>
        </w:tc>
      </w:tr>
      <w:tr w:rsidR="0040468E" w:rsidRPr="00D56FD3" w:rsidTr="009A20E1">
        <w:trPr>
          <w:trHeight w:val="390"/>
        </w:trPr>
        <w:tc>
          <w:tcPr>
            <w:tcW w:w="14616" w:type="dxa"/>
            <w:gridSpan w:val="4"/>
            <w:shd w:val="clear" w:color="000000" w:fill="FFFFFF" w:themeFill="background1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68E">
              <w:rPr>
                <w:rFonts w:ascii="Times New Roman" w:eastAsia="Times New Roman" w:hAnsi="Times New Roman" w:cs="Times New Roman"/>
                <w:b/>
                <w:bCs/>
              </w:rPr>
              <w:t>Действия объекта контроля по итогам экспертно-аналитического мероприятия</w:t>
            </w:r>
          </w:p>
        </w:tc>
      </w:tr>
      <w:tr w:rsidR="0040468E" w:rsidRPr="00D56FD3" w:rsidTr="009A20E1">
        <w:trPr>
          <w:trHeight w:val="112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Представление в Контрольно-счетную палату Орловской области информации об устранении нарушений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150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Направление иска в судебные органы относительно противоправных действий Контрольно-счетной палаты Орловской области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237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Направление жалобы на действие (бездействие) Контрольно-счетной палаты Орловской области в Орловский областной Совет народных депутатов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390"/>
        </w:trPr>
        <w:tc>
          <w:tcPr>
            <w:tcW w:w="14616" w:type="dxa"/>
            <w:gridSpan w:val="4"/>
            <w:tcBorders>
              <w:bottom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468E">
              <w:rPr>
                <w:rFonts w:ascii="Times New Roman" w:eastAsia="Times New Roman" w:hAnsi="Times New Roman" w:cs="Times New Roman"/>
                <w:b/>
                <w:bCs/>
              </w:rPr>
              <w:t>Формирование дела по результатам экспертно-аналитического мероприятия</w:t>
            </w:r>
          </w:p>
        </w:tc>
      </w:tr>
      <w:tr w:rsidR="0040468E" w:rsidRPr="00D56FD3" w:rsidTr="009A20E1">
        <w:trPr>
          <w:trHeight w:val="1140"/>
        </w:trPr>
        <w:tc>
          <w:tcPr>
            <w:tcW w:w="91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20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468E">
              <w:rPr>
                <w:rFonts w:ascii="Times New Roman" w:eastAsia="Times New Roman" w:hAnsi="Times New Roman" w:cs="Times New Roman"/>
              </w:rPr>
              <w:t>Дело, сформированное по результатам экспертно-аналитического мероприятия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468E" w:rsidRPr="0040468E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0468E" w:rsidRPr="004C2DC9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8E" w:rsidRPr="00D56FD3" w:rsidTr="009A20E1">
        <w:trPr>
          <w:trHeight w:val="109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Карточку составил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468E" w:rsidRPr="00D56FD3" w:rsidTr="009A20E1">
        <w:trPr>
          <w:trHeight w:val="37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Ф.И.О.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56F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68E" w:rsidRPr="00D56FD3" w:rsidRDefault="0040468E" w:rsidP="009A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</w:t>
            </w:r>
            <w:r w:rsidRPr="00D56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 20___г.</w:t>
            </w:r>
          </w:p>
        </w:tc>
      </w:tr>
    </w:tbl>
    <w:p w:rsidR="00141D9D" w:rsidRPr="00D56FD3" w:rsidRDefault="00141D9D" w:rsidP="00141D9D">
      <w:pPr>
        <w:tabs>
          <w:tab w:val="left" w:pos="1306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D9D" w:rsidRPr="00D56FD3" w:rsidSect="00141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42" w:rsidRDefault="00864942" w:rsidP="00141D9D">
      <w:pPr>
        <w:spacing w:after="0" w:line="240" w:lineRule="auto"/>
      </w:pPr>
      <w:r>
        <w:separator/>
      </w:r>
    </w:p>
  </w:endnote>
  <w:endnote w:type="continuationSeparator" w:id="0">
    <w:p w:rsidR="00864942" w:rsidRDefault="00864942" w:rsidP="0014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42" w:rsidRDefault="00864942" w:rsidP="00141D9D">
      <w:pPr>
        <w:spacing w:after="0" w:line="240" w:lineRule="auto"/>
      </w:pPr>
      <w:r>
        <w:separator/>
      </w:r>
    </w:p>
  </w:footnote>
  <w:footnote w:type="continuationSeparator" w:id="0">
    <w:p w:rsidR="00864942" w:rsidRDefault="00864942" w:rsidP="00141D9D">
      <w:pPr>
        <w:spacing w:after="0" w:line="240" w:lineRule="auto"/>
      </w:pPr>
      <w:r>
        <w:continuationSeparator/>
      </w:r>
    </w:p>
  </w:footnote>
  <w:footnote w:id="1">
    <w:p w:rsidR="0040468E" w:rsidRPr="00141D9D" w:rsidRDefault="0040468E" w:rsidP="0040468E">
      <w:pPr>
        <w:pStyle w:val="a4"/>
        <w:jc w:val="both"/>
      </w:pPr>
      <w:r w:rsidRPr="00141D9D">
        <w:rPr>
          <w:rStyle w:val="a3"/>
        </w:rPr>
        <w:footnoteRef/>
      </w:r>
      <w:r w:rsidRPr="00141D9D">
        <w:t xml:space="preserve"> </w:t>
      </w:r>
      <w:r w:rsidRPr="00141D9D">
        <w:rPr>
          <w:rFonts w:ascii="Times New Roman" w:hAnsi="Times New Roman"/>
          <w:color w:val="000000"/>
        </w:rPr>
        <w:t>Пункт (подпункт) годового плана деятельности Контрольно-счетной палаты Орловской области, распоряжение о пров</w:t>
      </w:r>
      <w:r>
        <w:rPr>
          <w:rFonts w:ascii="Times New Roman" w:hAnsi="Times New Roman"/>
          <w:color w:val="000000"/>
        </w:rPr>
        <w:t>едении экспертно-аналитического мероприятия</w:t>
      </w:r>
    </w:p>
  </w:footnote>
  <w:footnote w:id="2">
    <w:p w:rsidR="0040468E" w:rsidRDefault="0040468E">
      <w:pPr>
        <w:pStyle w:val="a4"/>
      </w:pPr>
      <w:r>
        <w:rPr>
          <w:rStyle w:val="a3"/>
        </w:rPr>
        <w:footnoteRef/>
      </w:r>
      <w:r>
        <w:t xml:space="preserve"> При наличии</w:t>
      </w:r>
    </w:p>
  </w:footnote>
  <w:footnote w:id="3">
    <w:p w:rsidR="0040468E" w:rsidRDefault="0040468E" w:rsidP="0040468E">
      <w:pPr>
        <w:pStyle w:val="a4"/>
      </w:pPr>
      <w:r>
        <w:rPr>
          <w:rStyle w:val="a3"/>
        </w:rPr>
        <w:footnoteRef/>
      </w:r>
      <w:r>
        <w:t xml:space="preserve"> Часть 8 статьи 11 Регламента Контрольно-счетной палаты Орловской области</w:t>
      </w:r>
    </w:p>
  </w:footnote>
  <w:footnote w:id="4">
    <w:p w:rsidR="0040468E" w:rsidRDefault="0040468E" w:rsidP="0040468E">
      <w:pPr>
        <w:pStyle w:val="a4"/>
      </w:pPr>
      <w:r>
        <w:rPr>
          <w:rStyle w:val="a3"/>
        </w:rPr>
        <w:footnoteRef/>
      </w:r>
      <w:r>
        <w:t xml:space="preserve"> При необходимости</w:t>
      </w:r>
    </w:p>
  </w:footnote>
  <w:footnote w:id="5">
    <w:p w:rsidR="0040468E" w:rsidRDefault="0040468E" w:rsidP="0040468E">
      <w:pPr>
        <w:pStyle w:val="a4"/>
        <w:jc w:val="both"/>
      </w:pPr>
      <w:r>
        <w:rPr>
          <w:rStyle w:val="a3"/>
        </w:rPr>
        <w:footnoteRef/>
      </w:r>
      <w:r w:rsidRPr="00570A76">
        <w:t>В случае</w:t>
      </w:r>
      <w:proofErr w:type="gramStart"/>
      <w:r w:rsidRPr="00570A76">
        <w:t>,</w:t>
      </w:r>
      <w:proofErr w:type="gramEnd"/>
      <w:r w:rsidRPr="00570A76">
        <w:t xml:space="preserve"> если выявленные нарушения содержатся в Классификаторе нарушений, выявляемых в ходе внешнего государственного аудита (контроля) (одобрен Коллегией Счетной палаты Российской Федерации 18 декабря 2014 года), следует указывать код нарушения по указанному классификатору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9D"/>
    <w:rsid w:val="000A5F7B"/>
    <w:rsid w:val="000D7F11"/>
    <w:rsid w:val="00121703"/>
    <w:rsid w:val="00141D9D"/>
    <w:rsid w:val="0015736F"/>
    <w:rsid w:val="00167889"/>
    <w:rsid w:val="00226A25"/>
    <w:rsid w:val="002C1D95"/>
    <w:rsid w:val="00332F7D"/>
    <w:rsid w:val="0040468E"/>
    <w:rsid w:val="00415617"/>
    <w:rsid w:val="00426336"/>
    <w:rsid w:val="00464674"/>
    <w:rsid w:val="00466D93"/>
    <w:rsid w:val="00495438"/>
    <w:rsid w:val="004C2DC9"/>
    <w:rsid w:val="00532165"/>
    <w:rsid w:val="005B2BBD"/>
    <w:rsid w:val="005D2BD5"/>
    <w:rsid w:val="005D7E28"/>
    <w:rsid w:val="00864942"/>
    <w:rsid w:val="00A31887"/>
    <w:rsid w:val="00B66969"/>
    <w:rsid w:val="00D17503"/>
    <w:rsid w:val="00D56FD3"/>
    <w:rsid w:val="00D63F8D"/>
    <w:rsid w:val="00D6690E"/>
    <w:rsid w:val="00DC6A70"/>
    <w:rsid w:val="00E305EE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141D9D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141D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41D9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141D9D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141D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41D9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F267-DB06-4156-8BB6-95EE8114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2015-03-12T07:38:00Z</cp:lastPrinted>
  <dcterms:created xsi:type="dcterms:W3CDTF">2015-03-12T07:34:00Z</dcterms:created>
  <dcterms:modified xsi:type="dcterms:W3CDTF">2015-03-17T14:38:00Z</dcterms:modified>
</cp:coreProperties>
</file>